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39AA" w:rsidRDefault="004B38E3">
      <w:pPr>
        <w:pStyle w:val="ConsPlusNormal"/>
        <w:jc w:val="right"/>
        <w:outlineLvl w:val="0"/>
      </w:pPr>
      <w:bookmarkStart w:id="0" w:name="_GoBack"/>
      <w:bookmarkEnd w:id="0"/>
      <w:r>
        <w:t>Приложение N 17</w:t>
      </w:r>
    </w:p>
    <w:p w:rsidR="008039AA" w:rsidRDefault="004B38E3">
      <w:pPr>
        <w:pStyle w:val="ConsPlusNormal"/>
        <w:jc w:val="right"/>
      </w:pPr>
      <w:r>
        <w:t>к государственной</w:t>
      </w:r>
    </w:p>
    <w:p w:rsidR="008039AA" w:rsidRDefault="004B38E3">
      <w:pPr>
        <w:pStyle w:val="ConsPlusNormal"/>
        <w:jc w:val="right"/>
      </w:pPr>
      <w:r>
        <w:t>программе</w:t>
      </w:r>
    </w:p>
    <w:p w:rsidR="008039AA" w:rsidRDefault="004B38E3">
      <w:pPr>
        <w:pStyle w:val="ConsPlusNormal"/>
        <w:jc w:val="right"/>
      </w:pPr>
      <w:r>
        <w:t>Приморского края</w:t>
      </w:r>
    </w:p>
    <w:p w:rsidR="008039AA" w:rsidRDefault="004B38E3">
      <w:pPr>
        <w:pStyle w:val="ConsPlusNormal"/>
        <w:jc w:val="right"/>
      </w:pPr>
      <w:r>
        <w:t>"Экономическое развитие</w:t>
      </w:r>
    </w:p>
    <w:p w:rsidR="008039AA" w:rsidRDefault="004B38E3">
      <w:pPr>
        <w:pStyle w:val="ConsPlusNormal"/>
        <w:jc w:val="right"/>
      </w:pPr>
      <w:r>
        <w:t>и инновационная экономика</w:t>
      </w:r>
    </w:p>
    <w:p w:rsidR="008039AA" w:rsidRDefault="004B38E3">
      <w:pPr>
        <w:pStyle w:val="ConsPlusNormal"/>
        <w:jc w:val="right"/>
      </w:pPr>
      <w:r>
        <w:t>Приморского края</w:t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jc w:val="center"/>
      </w:pPr>
      <w:r>
        <w:rPr>
          <w:b/>
        </w:rPr>
        <w:t>ПРАВИЛА</w:t>
      </w:r>
    </w:p>
    <w:p w:rsidR="008039AA" w:rsidRDefault="004B38E3">
      <w:pPr>
        <w:pStyle w:val="ConsPlusNormal"/>
        <w:jc w:val="center"/>
      </w:pPr>
      <w:r>
        <w:rPr>
          <w:b/>
        </w:rPr>
        <w:t>ПРЕДОСТАВЛЕНИЯ И РАСПРЕДЕЛЕНИЯ СУБСИДИИ ИЗ КРАЕВОГО</w:t>
      </w:r>
    </w:p>
    <w:p w:rsidR="008039AA" w:rsidRDefault="004B38E3">
      <w:pPr>
        <w:pStyle w:val="ConsPlusNormal"/>
        <w:jc w:val="center"/>
      </w:pPr>
      <w:r>
        <w:rPr>
          <w:b/>
        </w:rPr>
        <w:t>БЮДЖЕТА БЮДЖЕТАМ МУНИЦИПАЛЬНЫХ ОБРАЗОВАНИЙ ПРИМОРСКОГО КРАЯ</w:t>
      </w:r>
    </w:p>
    <w:p w:rsidR="008039AA" w:rsidRDefault="004B38E3">
      <w:pPr>
        <w:pStyle w:val="ConsPlusNormal"/>
        <w:jc w:val="center"/>
      </w:pPr>
      <w:r>
        <w:rPr>
          <w:b/>
        </w:rPr>
        <w:t xml:space="preserve">НА </w:t>
      </w:r>
      <w:r>
        <w:rPr>
          <w:b/>
        </w:rPr>
        <w:t>РЕАЛИЗАЦИЮ ПРОЕКТОВ ИНИЦИАТИВНОГО БЮДЖЕТИРОВАНИЯ</w:t>
      </w:r>
    </w:p>
    <w:p w:rsidR="008039AA" w:rsidRDefault="004B38E3">
      <w:pPr>
        <w:pStyle w:val="ConsPlusNormal"/>
        <w:jc w:val="center"/>
      </w:pPr>
      <w:r>
        <w:rPr>
          <w:b/>
        </w:rPr>
        <w:t>ПО НАПРАВЛЕНИЮ "МОЛОДЕЖНЫЙ БЮДЖЕТ"</w:t>
      </w:r>
    </w:p>
    <w:p w:rsidR="008039AA" w:rsidRDefault="008039AA">
      <w:pPr>
        <w:pStyle w:val="ConsPlusNormal"/>
        <w:rPr>
          <w:rFonts w:ascii="Times New Roman" w:hAnsi="Times New Roman"/>
          <w:sz w:val="24"/>
        </w:rPr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8039AA">
        <w:tc>
          <w:tcPr>
            <w:tcW w:w="60" w:type="dxa"/>
            <w:shd w:val="clear" w:color="auto" w:fill="CED3F1"/>
          </w:tcPr>
          <w:p w:rsidR="008039AA" w:rsidRDefault="008039AA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</w:tcPr>
          <w:p w:rsidR="008039AA" w:rsidRDefault="008039AA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8039AA" w:rsidRDefault="004B38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39AA" w:rsidRDefault="004B38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8039AA" w:rsidRDefault="004B38E3">
            <w:pPr>
              <w:pStyle w:val="ConsPlusNormal"/>
              <w:jc w:val="center"/>
            </w:pPr>
            <w:r>
              <w:rPr>
                <w:color w:val="392C69"/>
              </w:rPr>
              <w:t>от 06.10.2023 N 686-пп)</w:t>
            </w:r>
          </w:p>
        </w:tc>
        <w:tc>
          <w:tcPr>
            <w:tcW w:w="113" w:type="dxa"/>
            <w:shd w:val="clear" w:color="auto" w:fill="F4F3F8"/>
          </w:tcPr>
          <w:p w:rsidR="008039AA" w:rsidRDefault="008039A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t xml:space="preserve">1. Настоящие Правила предоставления и распределения субсидии из краевого бюджета бюджетам муниципальных образований Приморского края </w:t>
      </w:r>
      <w:r>
        <w:t>(далее - муниципальные образования) на реализацию проектов инициативного бюджетирования по направлению "Молодежный бюджет" (далее соответственно - Правила, субсидия, проект) определяют цели, условия и порядок предоставления и расходования субсидии, методик</w:t>
      </w:r>
      <w:r>
        <w:t>у расчета субсидии и порядок возврата субсидии в случае нарушения целей, условий и порядка, установленных при предоставлении субсидии.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2. Основные понятия, используемые в настоящих Правилах: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проект - проект по ремонту, благоустройству объекта инфраструктур</w:t>
      </w:r>
      <w:r>
        <w:t xml:space="preserve">ы, направленный на улучшение качества жизни населения и планируемый к реализации на территории муниципального образования (муниципального района, муниципального округа или городского округа), где расположено образовательное учреждение, в котором обучается </w:t>
      </w:r>
      <w:r>
        <w:t>инициатор проекта;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объекты инфраструктуры - 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</w:t>
      </w:r>
      <w:r>
        <w:t>тивные объекты, объекты водоснабжения и водоотведения.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3. Субсидии предоставляются в целях софинансирования расходных обязательств муниципальных образований, возникающих при выполнении полномочий органов местного самоуправления муниципальных образований Пр</w:t>
      </w:r>
      <w:r>
        <w:t>иморского края (далее - органы местного самоуправления) по вопросам местного значения, повышения эффективности решения муниципальными образованиями вопросов местного значения путем реализации в муниципальных образованиях проектов.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4. Субсидии предоставляют</w:t>
      </w:r>
      <w:r>
        <w:t xml:space="preserve">ся бюджетам муниципальных образований (далее - местный бюджет), проекты которых признаны победителями конкурсного отбора в соответствии с </w:t>
      </w:r>
      <w:hyperlink r:id="rId5">
        <w:r>
          <w:rPr>
            <w:color w:val="0000FF"/>
          </w:rPr>
          <w:t>Порядком</w:t>
        </w:r>
      </w:hyperlink>
      <w:r>
        <w:t xml:space="preserve">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</w:t>
      </w:r>
      <w:r>
        <w:t>ению "Молодежный бюджет", утвержденным постановлением Правительства Приморского края от 25 сентября 2020 года N 841-пп "Об отдельных вопросах реализации в Приморском крае проектов инициативного бюджетирования по направлению "Молодежный бюджет" (далее соотв</w:t>
      </w:r>
      <w:r>
        <w:t>етственно - проекты-победители, Порядок проведения конкурсного отбора, конкурсный отбор).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5. Министерство финансов Приморского края (далее - министерство) является главным распорядителем средств краевого бюджета, осуществляющим предоставление субсидии в со</w:t>
      </w:r>
      <w:r>
        <w:t>ответствии со сводной бюджетной росписью краевого бюджета, кассовым планом исполнения краевого бюджета в пределах лимитов бюджетных обязательств, доведенных в установленном порядке министерству на указанные цели в текущем финансовом году.</w:t>
      </w:r>
    </w:p>
    <w:p w:rsidR="008039AA" w:rsidRDefault="004B38E3">
      <w:pPr>
        <w:pStyle w:val="ConsPlusNormal"/>
        <w:spacing w:before="160"/>
        <w:ind w:firstLine="540"/>
        <w:jc w:val="both"/>
      </w:pPr>
      <w:bookmarkStart w:id="1" w:name="Par24"/>
      <w:bookmarkEnd w:id="1"/>
      <w:r>
        <w:t>6. Условиями пред</w:t>
      </w:r>
      <w:r>
        <w:t>оставления субсидий являются: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6.1. Наличие правового акта муниципального образования (или муниципальной программы), устанавливающего расходное обязательство муниципального образования, на исполнение которого предоставляется субсидия;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 xml:space="preserve">6.2. Заключение между </w:t>
      </w:r>
      <w:r>
        <w:t xml:space="preserve">министерством и муниципальным образованием соглашения о предоставлении субсидии (далее - Соглашение) в соответствии с типовой </w:t>
      </w:r>
      <w:hyperlink r:id="rId6">
        <w:r>
          <w:rPr>
            <w:color w:val="0000FF"/>
          </w:rPr>
          <w:t>формой</w:t>
        </w:r>
      </w:hyperlink>
      <w:r>
        <w:t>, утвержденной приказом министерства от 14 января 2020 года N 4 "Об утверждении типовой формы соглашения о предоставлении субсидии из краевого бюджета бюджету муниципального образования Приморского края";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6</w:t>
      </w:r>
      <w:r>
        <w:t>.3. Отсутствие в краевом бюджете на текущий финансовый год других межбюджетных трансфертов местному бюджету на реализацию мероприятия (объекта), осуществляемого в рамках проекта;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6.4. Заключение муниципальных контрактов на осуществление закупок товаров, ра</w:t>
      </w:r>
      <w:r>
        <w:t xml:space="preserve">бот, услуг в соответствии с требованиями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</w:t>
      </w:r>
      <w:r>
        <w:t xml:space="preserve">е в сфере закупок товаров, работ, услуг для обеспечения государственных и муниципальных нужд", контрактов в соответствии с требованиями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18 июля 2011 года N 223-ФЗ "О закупках товаров, работ, услуг отдельными видами юридических лиц" в целях выполнения полномочий органов местного самоуправления по вопросам местного значения, на софинансирование </w:t>
      </w:r>
      <w:r>
        <w:t>которых предоставляется субсидия;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6.5. Заключение органами местного самоуправления муниципальных контрактов на осуществление закупок товаров, работ, услуг в целях выполнения полномочий органов местного самоуправления по вопросам местного значения, на софин</w:t>
      </w:r>
      <w:r>
        <w:t>ансирование которых предоставляется субсидия на условиях, не предусматривающих авансовые платежи;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 xml:space="preserve">6.6. Соблюдение органами местного самоуправления запрета на предоставление средств субсидии физическим лицам, не являющимся индивидуальными предпринимателями </w:t>
      </w:r>
      <w:r>
        <w:t xml:space="preserve">или производителями товаров, работ и услуг, а также на использование экономии средств субсидии, образовавшейся в результате проведения всех конкурсных процедур, связанных с достижением результата </w:t>
      </w:r>
      <w:r>
        <w:lastRenderedPageBreak/>
        <w:t>реализации проекта;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6.7. Соблюдение органами местного самоуп</w:t>
      </w:r>
      <w:r>
        <w:t>равления запрета на внесение изменений в проекты-победители.</w:t>
      </w:r>
    </w:p>
    <w:p w:rsidR="008039AA" w:rsidRDefault="004B38E3">
      <w:pPr>
        <w:pStyle w:val="ConsPlusNormal"/>
        <w:spacing w:before="160"/>
        <w:ind w:firstLine="540"/>
        <w:jc w:val="both"/>
      </w:pPr>
      <w:bookmarkStart w:id="2" w:name="Par32"/>
      <w:bookmarkEnd w:id="2"/>
      <w:r>
        <w:t xml:space="preserve">7. Для заключения Соглашения муниципальное образование представляет в министерство в соответствии с Порядком проведения конкурсного отбора копии муниципальных правовых актов об </w:t>
      </w:r>
      <w:r>
        <w:t>утверждении перечня проектов-победителей, подлежащих реализации на территории соответствующего муниципального образования (далее - муниципальный правовой акт), в срок не позднее одного рабочего дня, следующего за днем принятия муниципального правового акта</w:t>
      </w:r>
      <w:r>
        <w:t>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Муниципальный правовой акт должен быть принят в течение 12 рабочих дней, следующих за днем завершения четвертого этапа конкурсного отбора в соответствии с Порядком проведения конкурсного отбора.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Муниципальный правовой акт, устанавливающий расходное обяза</w:t>
      </w:r>
      <w:r>
        <w:t xml:space="preserve">тельство муниципального образования, в целях софинансирования которого предоставляется субсидия, должен содержать приложение, предусматривающее </w:t>
      </w:r>
      <w:hyperlink w:anchor="Par130">
        <w:r>
          <w:rPr>
            <w:color w:val="0000FF"/>
          </w:rPr>
          <w:t>перечень</w:t>
        </w:r>
      </w:hyperlink>
      <w:r>
        <w:t xml:space="preserve"> мероприятий, реализуемых в рамках проектов-победителей, оформленный в соот</w:t>
      </w:r>
      <w:r>
        <w:t>ветствии с формой согласно приложению к настоящим Правилам.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8. Соглашение заключается в срок не позднее 15 февраля года предоставления субсидии, но не позднее 15 рабочих дней, следующих за днем принятия нормативного правового акта Правительства Приморского</w:t>
      </w:r>
      <w:r>
        <w:t xml:space="preserve"> края о распределении субсидии, предусмотренного </w:t>
      </w:r>
      <w:hyperlink w:anchor="Par44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Соглашение должно содержать в том числе следующие положения: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а) размер предоставляемой субсидии, условия ее предоставления и перечисления в местный бю</w:t>
      </w:r>
      <w:r>
        <w:t>джета, а также объем бюджетных ассигнований местного бюджета на реализацию проекта в объеме не менее 1% от общей стоимости проекта;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б) обязательство по наличию в бюджете муниципального образования бюджетных ассигнований на исполнение расходных обязательств</w:t>
      </w:r>
      <w:r>
        <w:t xml:space="preserve"> муниципального образования в объеме, необходимом для их исполнения, с учетом установленного предельного уровня софинансирования;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в) значения результата использования субсидии, устанавливаемые министерством, которые должны соответствовать показателям (инди</w:t>
      </w:r>
      <w:r>
        <w:t>каторам) государственной программы Приморского края, а также обязательство муниципального образования по их достижению;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г) сроки, формы и порядок представления отчетности о расходах местного бюджета, в целях софинансирования которых предоставляется субсиди</w:t>
      </w:r>
      <w:r>
        <w:t>я (с приложением подтверждающих документов о целевом расходовании субсидии и этапов реализации проекта), и о достижении значения результата использования субсидии, а также обязательство муниципального образования по представлению вышеуказанных отчетов;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 xml:space="preserve">д) </w:t>
      </w:r>
      <w:r>
        <w:t>положение об обеспечении соблюдения муниципальным образованием условий, целей и порядка, установленных при предоставлении субсидии;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е) иные условия, относящиеся к предмету Соглашения.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9. Реализация проектов-победителей должна быть осуществлена муниципальны</w:t>
      </w:r>
      <w:r>
        <w:t>м образованием в пределах одного финансового года, не позднее 20 декабря года предоставления субсидии из краевого бюджета.</w:t>
      </w:r>
    </w:p>
    <w:p w:rsidR="008039AA" w:rsidRDefault="004B38E3">
      <w:pPr>
        <w:pStyle w:val="ConsPlusNormal"/>
        <w:spacing w:before="160"/>
        <w:ind w:firstLine="540"/>
        <w:jc w:val="both"/>
      </w:pPr>
      <w:bookmarkStart w:id="3" w:name="Par44"/>
      <w:bookmarkEnd w:id="3"/>
      <w:r>
        <w:t xml:space="preserve">10. Распределение субсидий между муниципальными образованиями утверждается нормативным правовым актом Правительства Приморского края </w:t>
      </w:r>
      <w:r>
        <w:t>не позднее 42 календарных дней, следующих за днем завершения четвертого этапа конкурсного отбора в соответствии с Порядком проведения конкурсного отбора.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11. Размер субсидии рассчитывается по формуле:</w:t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800100" cy="20574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t>C - общий размер субсидии, предусмотренный в краево</w:t>
      </w:r>
      <w:r>
        <w:t>м бюджете на текущий финансовый год для предоставления муниципальным образованиям на реализацию проектов;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Ci - размер субсидии бюджету i-го муниципального образования;</w:t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1257300" cy="20574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t>Si - стоимость реализации проекта-победителя i-го муниципального образования;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 xml:space="preserve">Smb - </w:t>
      </w:r>
      <w:r>
        <w:t>размер средств местного бюджета i-го муниципального образования, предусмотренных для финансирования на реализацию одного проекта-победителя.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Размер субсидии для софинансирования реализации одного проекта-победителя соответствующего муниципального образован</w:t>
      </w:r>
      <w:r>
        <w:t>ия из краевого бюджета не может превышать 1500000,00 рубля.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Предельный уровень софинансирования расходного обязательства муниципального образования за счет средств краевого бюджета не может превышать 99 процентов.</w:t>
      </w:r>
    </w:p>
    <w:p w:rsidR="008039AA" w:rsidRDefault="004B38E3">
      <w:pPr>
        <w:pStyle w:val="ConsPlusNormal"/>
        <w:spacing w:before="160"/>
        <w:ind w:firstLine="540"/>
        <w:jc w:val="both"/>
      </w:pPr>
      <w:bookmarkStart w:id="4" w:name="Par58"/>
      <w:bookmarkEnd w:id="4"/>
      <w:r>
        <w:t xml:space="preserve">12. Перечисление средств субсидии в </w:t>
      </w:r>
      <w:r>
        <w:t>местный бюджет осуществляется под фактическую потребность на основании заявки органа местного самоуправления о перечислении субсидии, представляемой министерству по форме, установленной Соглашением, и документов, подтверждающих данную фактическую потребнос</w:t>
      </w:r>
      <w:r>
        <w:t>ть (фактическую реализацию мероприятий) в перечислении средств субсидии (муниципальные контракты, товарные накладные, акты приема выполненных работ, оказанных услуг и т.д.).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Заявка о перечислении субсидии направляется органом местного самоуправления в мини</w:t>
      </w:r>
      <w:r>
        <w:t xml:space="preserve">стерство в сроки, позволяющие осуществлять расчеты с поставщиками и (или) подрядными организациями, но не позднее семи рабочих дней с даты получения счета </w:t>
      </w:r>
      <w:r>
        <w:lastRenderedPageBreak/>
        <w:t>от поставщика (подрядчика) или до даты наступления срока платежа в иных случаях.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Перечисление субсиди</w:t>
      </w:r>
      <w:r>
        <w:t>и осуществляется с лицевого счета министерства для учета операций по переданным полномочиям получателя бюджетных средств, открытого в Управлении Федерального казначейства по Приморскому краю (далее - УФК по Приморскому краю), на лицевые счета администратор</w:t>
      </w:r>
      <w:r>
        <w:t>ов доходов местных бюджетов - получателей субсидии, открытые в территориальных органах УФК по Приморскому краю, в срок не позднее семи рабочих дней, следующих за днем поступления в министерство заявки органа местного самоуправления о перечислении субсидии.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В случае неполного предоставления или некорректного оформления документов, подтверждающих фактическую потребность предоставления средств субсидии (фактическую реализацию мероприятий), министерство направляет заявку на доработку в течение семи рабочих дней</w:t>
      </w:r>
      <w:r>
        <w:t>, следующих за днем поступления заявки о перечислении субсидии в министерство, посредством письма.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Органы местного самоуправления, в отношении которых принято решение о направлении заявки на доработку, устраняют недостатки, указанные в письме, в срок не пр</w:t>
      </w:r>
      <w:r>
        <w:t>евышающий 45 рабочих дней со дня получения письма.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13. Основанием для принятия решения в форме приказа об отказе в заключении Соглашения или об отказе в предоставлении (перечислении) субсидии является: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невыполнение муниципальным образованием условий предос</w:t>
      </w:r>
      <w:r>
        <w:t xml:space="preserve">тавления субсидии, установленных в </w:t>
      </w:r>
      <w:hyperlink w:anchor="Par24">
        <w:r>
          <w:rPr>
            <w:color w:val="0000FF"/>
          </w:rPr>
          <w:t>пункте 6</w:t>
        </w:r>
      </w:hyperlink>
      <w:r>
        <w:t xml:space="preserve"> настоящих Правил;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 xml:space="preserve">несоответствие представленных муниципальным образованием документов требованиям, определенным </w:t>
      </w:r>
      <w:hyperlink w:anchor="Par32">
        <w:r>
          <w:rPr>
            <w:color w:val="0000FF"/>
          </w:rPr>
          <w:t>пунктом 7</w:t>
        </w:r>
      </w:hyperlink>
      <w:r>
        <w:t xml:space="preserve"> (для заключения Соглашения) и </w:t>
      </w:r>
      <w:hyperlink w:anchor="Par58">
        <w:r>
          <w:rPr>
            <w:color w:val="0000FF"/>
          </w:rPr>
          <w:t>пунктом 12</w:t>
        </w:r>
      </w:hyperlink>
      <w:r>
        <w:t xml:space="preserve"> (для предоставления (перечисления) субсидии) настоящих Правил, или непредставление (представление не в полном объеме) указанных документов.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Решение в форме приказа об отказе в заключении Соглашения принимается в срок до 1</w:t>
      </w:r>
      <w:r>
        <w:t>5 февраля года предоставления субсидии.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 xml:space="preserve">Решение в форме приказа об отказе в предоставлении (перечислении) субсидии в соответствии с положениями </w:t>
      </w:r>
      <w:hyperlink w:anchor="Par58">
        <w:r>
          <w:rPr>
            <w:color w:val="0000FF"/>
          </w:rPr>
          <w:t>пункта 12</w:t>
        </w:r>
      </w:hyperlink>
      <w:r>
        <w:t xml:space="preserve"> настоящих Правил принимается в течение семи рабочих дней, следующих за днем поступления заявки о перечислении субсидии в министерство.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В течение пяти рабочих дней со дня принятия решения в форме приказа об отказе в заключении Соглашения или об отказе в пр</w:t>
      </w:r>
      <w:r>
        <w:t>едоставлении (перечислении) субсидии министерство уведомляет орган местного самоуправления о принятом решении путем направления письма в его адрес.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14. Субсидии носят целевой характер и не могут быть использованы на цели, не предусмотренные настоящими Прав</w:t>
      </w:r>
      <w:r>
        <w:t>илами.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15. Результатом использования субсидии является количество реализованных проектов. Значения результата использования субсидии для каждого муниципального образования, по каждому из проектов в отдельности, устанавливаются Соглашением.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Оценка эффективн</w:t>
      </w:r>
      <w:r>
        <w:t>ости использования субсидии осуществляется министерством по итогам реализации проектов на основании сравнения планового и достигнутого значений результата использования субсидии.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 xml:space="preserve">16. В случае если муниципальным образованием по состоянию на 31 декабря года </w:t>
      </w:r>
      <w:r>
        <w:t>предоставления субсидии не достигнуты значения результата, предусмотренные Соглашением, в срок до 30 июля года, следующего за годом предоставления субсидии, средства субсидии подлежат возврату (Vвозврата) в размере, рассчитанном по формуле:</w:t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t>Vвозврата = (V</w:t>
      </w:r>
      <w:r>
        <w:t>субсидии x k x m / n) x 0,1,</w:t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t>где: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Vсубсидии - размер субсидии, предоставленной местному бюджету в отчетном финансовом году (без учета размера остатка субсидии, не использованного по состоянию на 1 января текущего финансового года);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m - количество результа</w:t>
      </w:r>
      <w:r>
        <w:t>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n - общее количество результатов использования субсидии;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k - коэффициент возврата субсидии, который рассчит</w:t>
      </w:r>
      <w:r>
        <w:t>ывается (при расчете используются только положительные значения индекса, отражающего уровень недостижения i-го результата использования субсидии) субъектом бюджетного планирования по формуле:</w:t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647700" cy="20574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t>где: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 xml:space="preserve">Di - индекс, отражающий уровень </w:t>
      </w:r>
      <w:r>
        <w:t>недостижения i-го результата использования субсидии, который определяется по формуле:</w:t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t>Di = 1 - Ti / Si,</w:t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ind w:firstLine="540"/>
        <w:jc w:val="both"/>
      </w:pPr>
      <w:r>
        <w:t>где: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Ti - фактически достигнутое значение i-го результата использования субсидии на отчетную дату;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Si - значение i-го результата использования субсиди</w:t>
      </w:r>
      <w:r>
        <w:t>и, установленное Соглашением.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Основанием для освобождения муниципального образования от применения мер ответственности, установленных настоящим пунктом, является документально подтвержденное наступление следующих обстоятельств: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lastRenderedPageBreak/>
        <w:t>а) введение правовым актом о</w:t>
      </w:r>
      <w:r>
        <w:t>ргана местного самоуправления режима чрезвычайной ситуации на территории муниципального образования, на которой осуществляется реализация софинансируемых за счет субсидии мероприятий;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б) введение правовым актом Губернатора Приморского края режима ограничит</w:t>
      </w:r>
      <w:r>
        <w:t>ельных мероприятий и (или) карантина, направленных на предотвращение распространения и ликвидацию очагов заразных и иных болезней животных;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в) аномальные погодные явления - существенные отклонения погодных явлений от характерных для данной местности, в том</w:t>
      </w:r>
      <w:r>
        <w:t xml:space="preserve"> числе несвойственные местности сильные, частые и резкие изменения температуры и влажности атмосферного воздуха, скорости ветра, количества и частоты выпадения осадков (снег, дождь, град) и тому подобные явления, подтвержденные справкой территориального ор</w:t>
      </w:r>
      <w:r>
        <w:t>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Документы, подтверждающие наступление вышеназванных обстоятельств непреодолимой силы, направляют</w:t>
      </w:r>
      <w:r>
        <w:t>ся в министерство за подписью главы муниципального образования не позднее 1 марта года, следующего за годом предоставления субсидии. Одновременно с указанными документами представляется информация о предпринимаемых мерах по устранению нарушения и персональ</w:t>
      </w:r>
      <w:r>
        <w:t>ной ответственности должностных лиц за такое нарушение.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17. В случае нецелевого использования средств субсидии к муниципальному образованию, допустившему нарушение, применяются бюджетные меры принуждения, предусмотренные законодательством Российской Федера</w:t>
      </w:r>
      <w:r>
        <w:t>ции, а средства субсидии подлежат возврату в полном объеме в краевой бюджет.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18. Не использованные по состоянию на 1 января текущего финансового года субсидии подлежат возврату в доход краевого бюджета в течение первых 15 дней текущего финансового года.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 xml:space="preserve">В </w:t>
      </w:r>
      <w:r>
        <w:t>случае если неиспользованный остаток субсидий не перечислен в доход краевого бюджета, указанные средства подлежат взысканию в доход краевого бюджета в порядке, установленном министерством.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 xml:space="preserve">19. Муниципальные образования представляют в министерство отчеты о </w:t>
      </w:r>
      <w:r>
        <w:t>расходовании субсидии и о достижении значений результатов использования субсидии по формам и в сроки, которые установлены Соглашением.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20. Ответственность за результативность, целевое использование субсидий, полноту и достоверность представляемых в министе</w:t>
      </w:r>
      <w:r>
        <w:t>рство отчетов и документов возлагается на органы местного самоуправления.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21. Министерство обеспечивает соблюдение муниципальными образованиями условий, целей и порядка, установленных при предоставлении субсидий.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22. Министерство и органы финансового контр</w:t>
      </w:r>
      <w:r>
        <w:t>оля осуществляют проверку соблюдения муниципальными образованиями условий, целей и порядка, установленных при предоставлении субсидий.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23. В случае если муниципальным образованием допущены нарушения целей, условий настоящих Правил (в том числе в случае нец</w:t>
      </w:r>
      <w:r>
        <w:t>елевого использования субсидии, использования субсидии без долевого финансирования за счет средств местного бюджета), муниципальное образование обеспечивает возврат в доход краевого бюджета суммы субсидии на основании направленного министерством требования</w:t>
      </w:r>
      <w:r>
        <w:t xml:space="preserve"> о возврате субсидии в краевой бюджет (далее - требование) в полном объеме.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Требование направляется министерством органу местного самоуправления в течение 30 рабочих дней со дня установления нарушения.</w:t>
      </w:r>
    </w:p>
    <w:p w:rsidR="008039AA" w:rsidRDefault="004B38E3">
      <w:pPr>
        <w:pStyle w:val="ConsPlusNormal"/>
        <w:spacing w:before="160"/>
        <w:ind w:firstLine="540"/>
        <w:jc w:val="both"/>
      </w:pPr>
      <w:r>
        <w:t>Возврат субсидии производится в течение 10 рабочих дне</w:t>
      </w:r>
      <w:r>
        <w:t>й со дня получения требования по реквизитам и коду бюджетной классификации Российской Федерации, указанным в требовании.</w:t>
      </w:r>
    </w:p>
    <w:p w:rsidR="008039AA" w:rsidRDefault="008039AA">
      <w:pPr>
        <w:pStyle w:val="ConsPlusNormal"/>
        <w:jc w:val="both"/>
      </w:pPr>
    </w:p>
    <w:p w:rsidR="008039AA" w:rsidRDefault="008039AA">
      <w:pPr>
        <w:pStyle w:val="ConsPlusNormal"/>
        <w:jc w:val="both"/>
      </w:pPr>
    </w:p>
    <w:p w:rsidR="008039AA" w:rsidRDefault="008039AA">
      <w:pPr>
        <w:pStyle w:val="ConsPlusNormal"/>
        <w:jc w:val="both"/>
      </w:pPr>
    </w:p>
    <w:p w:rsidR="008039AA" w:rsidRDefault="008039AA">
      <w:pPr>
        <w:pStyle w:val="ConsPlusNormal"/>
        <w:jc w:val="both"/>
      </w:pPr>
    </w:p>
    <w:p w:rsidR="008039AA" w:rsidRDefault="008039AA">
      <w:pPr>
        <w:pStyle w:val="ConsPlusNormal"/>
        <w:jc w:val="both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8039AA">
      <w:pPr>
        <w:pStyle w:val="ConsPlusNormal"/>
        <w:jc w:val="right"/>
        <w:outlineLvl w:val="1"/>
      </w:pPr>
    </w:p>
    <w:p w:rsidR="008039AA" w:rsidRDefault="004B38E3">
      <w:pPr>
        <w:pStyle w:val="ConsPlusNormal"/>
        <w:jc w:val="right"/>
        <w:outlineLvl w:val="1"/>
      </w:pPr>
      <w:r>
        <w:lastRenderedPageBreak/>
        <w:t>Приложение</w:t>
      </w:r>
    </w:p>
    <w:p w:rsidR="008039AA" w:rsidRDefault="004B38E3">
      <w:pPr>
        <w:pStyle w:val="ConsPlusNormal"/>
        <w:jc w:val="right"/>
      </w:pPr>
      <w:r>
        <w:t>к Правилам</w:t>
      </w:r>
    </w:p>
    <w:p w:rsidR="008039AA" w:rsidRDefault="004B38E3">
      <w:pPr>
        <w:pStyle w:val="ConsPlusNormal"/>
        <w:jc w:val="right"/>
      </w:pPr>
      <w:r>
        <w:t>предоставления и</w:t>
      </w:r>
    </w:p>
    <w:p w:rsidR="008039AA" w:rsidRDefault="004B38E3">
      <w:pPr>
        <w:pStyle w:val="ConsPlusNormal"/>
        <w:jc w:val="right"/>
      </w:pPr>
      <w:r>
        <w:t>распределения</w:t>
      </w:r>
    </w:p>
    <w:p w:rsidR="008039AA" w:rsidRDefault="004B38E3">
      <w:pPr>
        <w:pStyle w:val="ConsPlusNormal"/>
        <w:jc w:val="right"/>
      </w:pPr>
      <w:r>
        <w:t>субсидии из краевого</w:t>
      </w:r>
    </w:p>
    <w:p w:rsidR="008039AA" w:rsidRDefault="004B38E3">
      <w:pPr>
        <w:pStyle w:val="ConsPlusNormal"/>
        <w:jc w:val="right"/>
      </w:pPr>
      <w:r>
        <w:t>бюджета бюджетам</w:t>
      </w:r>
    </w:p>
    <w:p w:rsidR="008039AA" w:rsidRDefault="004B38E3">
      <w:pPr>
        <w:pStyle w:val="ConsPlusNormal"/>
        <w:jc w:val="right"/>
      </w:pPr>
      <w:r>
        <w:t>муниципальных</w:t>
      </w:r>
    </w:p>
    <w:p w:rsidR="008039AA" w:rsidRDefault="004B38E3">
      <w:pPr>
        <w:pStyle w:val="ConsPlusNormal"/>
        <w:jc w:val="right"/>
      </w:pPr>
      <w:r>
        <w:t>образований</w:t>
      </w:r>
    </w:p>
    <w:p w:rsidR="008039AA" w:rsidRDefault="004B38E3">
      <w:pPr>
        <w:pStyle w:val="ConsPlusNormal"/>
        <w:jc w:val="right"/>
      </w:pPr>
      <w:r>
        <w:t>Приморского края</w:t>
      </w:r>
    </w:p>
    <w:p w:rsidR="008039AA" w:rsidRDefault="004B38E3">
      <w:pPr>
        <w:pStyle w:val="ConsPlusNormal"/>
        <w:jc w:val="right"/>
      </w:pPr>
      <w:r>
        <w:t>на реализацию</w:t>
      </w:r>
    </w:p>
    <w:p w:rsidR="008039AA" w:rsidRDefault="004B38E3">
      <w:pPr>
        <w:pStyle w:val="ConsPlusNormal"/>
        <w:jc w:val="right"/>
      </w:pPr>
      <w:r>
        <w:t>проектов</w:t>
      </w:r>
    </w:p>
    <w:p w:rsidR="008039AA" w:rsidRDefault="004B38E3">
      <w:pPr>
        <w:pStyle w:val="ConsPlusNormal"/>
        <w:jc w:val="right"/>
      </w:pPr>
      <w:r>
        <w:t>инициативного</w:t>
      </w:r>
    </w:p>
    <w:p w:rsidR="008039AA" w:rsidRDefault="004B38E3">
      <w:pPr>
        <w:pStyle w:val="ConsPlusNormal"/>
        <w:jc w:val="right"/>
      </w:pPr>
      <w:r>
        <w:t>бюджетирования</w:t>
      </w:r>
    </w:p>
    <w:p w:rsidR="008039AA" w:rsidRDefault="004B38E3">
      <w:pPr>
        <w:pStyle w:val="ConsPlusNormal"/>
        <w:jc w:val="right"/>
      </w:pPr>
      <w:r>
        <w:t>по направлению</w:t>
      </w:r>
    </w:p>
    <w:p w:rsidR="008039AA" w:rsidRDefault="004B38E3">
      <w:pPr>
        <w:pStyle w:val="ConsPlusNormal"/>
        <w:jc w:val="right"/>
      </w:pPr>
      <w:r>
        <w:t>"Молодежный бюджет"</w:t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jc w:val="right"/>
      </w:pPr>
      <w:r>
        <w:t>Форма</w:t>
      </w:r>
    </w:p>
    <w:p w:rsidR="008039AA" w:rsidRDefault="008039AA">
      <w:pPr>
        <w:pStyle w:val="ConsPlusNormal"/>
        <w:jc w:val="both"/>
      </w:pPr>
    </w:p>
    <w:p w:rsidR="008039AA" w:rsidRDefault="004B38E3">
      <w:pPr>
        <w:pStyle w:val="ConsPlusNormal"/>
        <w:jc w:val="center"/>
      </w:pPr>
      <w:bookmarkStart w:id="5" w:name="Par130"/>
      <w:bookmarkEnd w:id="5"/>
      <w:r>
        <w:t>ПЕРЕЧЕНЬ</w:t>
      </w:r>
    </w:p>
    <w:p w:rsidR="008039AA" w:rsidRDefault="004B38E3">
      <w:pPr>
        <w:pStyle w:val="ConsPlusNormal"/>
        <w:jc w:val="center"/>
      </w:pPr>
      <w:r>
        <w:t>МЕРОПРИЯТИЙ, РЕАЛИЗУЕМЫХ В РАМКАХ ПРОЕКТОВ-ПОБЕДИТЕЛЕЙ</w:t>
      </w:r>
    </w:p>
    <w:p w:rsidR="008039AA" w:rsidRDefault="004B38E3">
      <w:pPr>
        <w:pStyle w:val="ConsPlusNormal"/>
        <w:jc w:val="center"/>
      </w:pPr>
      <w:r>
        <w:t xml:space="preserve">КОНКУРСНОГО ОТБОРА ПО РЕЗУЛЬТАТАМ ОТКРЫТОГО </w:t>
      </w:r>
      <w:r>
        <w:t>ГОЛОСОВАНИЯ,</w:t>
      </w:r>
    </w:p>
    <w:p w:rsidR="008039AA" w:rsidRDefault="004B38E3">
      <w:pPr>
        <w:pStyle w:val="ConsPlusNormal"/>
        <w:jc w:val="center"/>
      </w:pPr>
      <w:r>
        <w:t>В ЦЕЛЯХ СОФИНАНСИРОВАНИЯ КОТОРЫХ ПРЕДОСТАВЛЯЕТСЯ СУБСИДИЯ</w:t>
      </w:r>
    </w:p>
    <w:p w:rsidR="008039AA" w:rsidRDefault="004B38E3">
      <w:pPr>
        <w:pStyle w:val="ConsPlusNormal"/>
        <w:jc w:val="center"/>
      </w:pPr>
      <w:r>
        <w:t>ИЗ КРАЕВОГО БЮДЖЕТА МУНИЦИПАЛЬНОМУ ОБРАЗОВАНИЮ ПРИМОРСКОГО</w:t>
      </w:r>
    </w:p>
    <w:p w:rsidR="008039AA" w:rsidRDefault="004B38E3">
      <w:pPr>
        <w:pStyle w:val="ConsPlusNormal"/>
        <w:jc w:val="center"/>
      </w:pPr>
      <w:r>
        <w:t>КРАЯ В РАМКАХ РЕАЛИЗАЦИИ ПРОЕКТОВ</w:t>
      </w:r>
    </w:p>
    <w:p w:rsidR="008039AA" w:rsidRDefault="008039AA">
      <w:pPr>
        <w:pStyle w:val="ConsPlusNormal"/>
        <w:jc w:val="both"/>
      </w:pPr>
    </w:p>
    <w:tbl>
      <w:tblPr>
        <w:tblW w:w="99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638"/>
        <w:gridCol w:w="2080"/>
        <w:gridCol w:w="1311"/>
        <w:gridCol w:w="1145"/>
        <w:gridCol w:w="1095"/>
        <w:gridCol w:w="1305"/>
        <w:gridCol w:w="962"/>
      </w:tblGrid>
      <w:tr w:rsidR="008039A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Наименование проекта по направлению "Молодежный бюджет" (далее - проект)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Общая стоимость реа</w:t>
            </w:r>
            <w:r>
              <w:t>лизации проекта, рублей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В том числе средства субсидии,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Средства местного бюджета, рублей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Уровень софинансирования из краевого бюджета, процентов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Планируемый итог реализации проекта</w:t>
            </w:r>
          </w:p>
        </w:tc>
      </w:tr>
      <w:tr w:rsidR="008039A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4B38E3">
            <w:pPr>
              <w:pStyle w:val="ConsPlusNormal"/>
              <w:jc w:val="center"/>
            </w:pPr>
            <w:r>
              <w:t>8</w:t>
            </w:r>
          </w:p>
        </w:tc>
      </w:tr>
      <w:tr w:rsidR="008039AA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AA" w:rsidRDefault="008039AA">
            <w:pPr>
              <w:pStyle w:val="ConsPlusNormal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AA" w:rsidRDefault="008039AA">
            <w:pPr>
              <w:pStyle w:val="ConsPlusNormal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AA" w:rsidRDefault="008039AA">
            <w:pPr>
              <w:pStyle w:val="ConsPlusNormal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AA" w:rsidRDefault="008039AA">
            <w:pPr>
              <w:pStyle w:val="ConsPlusNormal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AA" w:rsidRDefault="008039AA">
            <w:pPr>
              <w:pStyle w:val="ConsPlusNormal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AA" w:rsidRDefault="008039AA">
            <w:pPr>
              <w:pStyle w:val="ConsPlusNormal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9AA" w:rsidRDefault="008039AA">
            <w:pPr>
              <w:pStyle w:val="ConsPlusNormal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9AA" w:rsidRDefault="008039AA">
            <w:pPr>
              <w:pStyle w:val="ConsPlusNormal"/>
            </w:pPr>
          </w:p>
        </w:tc>
      </w:tr>
    </w:tbl>
    <w:p w:rsidR="008039AA" w:rsidRDefault="008039AA">
      <w:pPr>
        <w:pStyle w:val="ConsPlusNormal"/>
        <w:jc w:val="both"/>
      </w:pPr>
    </w:p>
    <w:p w:rsidR="008039AA" w:rsidRDefault="008039AA">
      <w:pPr>
        <w:pStyle w:val="ConsPlusNormal"/>
        <w:jc w:val="both"/>
      </w:pPr>
    </w:p>
    <w:p w:rsidR="008039AA" w:rsidRDefault="008039AA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0"/>
        </w:rPr>
      </w:pPr>
    </w:p>
    <w:sectPr w:rsidR="008039AA">
      <w:pgSz w:w="11906" w:h="16838"/>
      <w:pgMar w:top="1005" w:right="566" w:bottom="1440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AA"/>
    <w:rsid w:val="004B38E3"/>
    <w:rsid w:val="0080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ED1BA-BBCD-44A0-B46C-BBD5E64A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qFormat/>
    <w:pPr>
      <w:widowControl w:val="0"/>
    </w:pPr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Arial" w:hAnsi="Courier New" w:cs="Courier New"/>
      <w:sz w:val="16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Arial" w:hAnsi="Tahoma" w:cs="Courier New"/>
      <w:sz w:val="16"/>
    </w:rPr>
  </w:style>
  <w:style w:type="paragraph" w:customStyle="1" w:styleId="ConsPlusJurTerm">
    <w:name w:val="ConsPlusJurTerm"/>
    <w:qFormat/>
    <w:pPr>
      <w:widowControl w:val="0"/>
    </w:pPr>
    <w:rPr>
      <w:rFonts w:ascii="Arial" w:eastAsia="Arial" w:hAnsi="Arial" w:cs="Courier New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eastAsia="Arial" w:hAnsi="Arial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DEDD5CA213E84E52D4AE106FAA1E73EAE05C696687583708E581B26219275F304B6510E397A66CE74CF8127TDV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ADEDD5CA213E84E52D4AE106FAA1E73EAE02CD95687583708E581B26219275F304B6510E397A66CE74CF8127TDVD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DEDD5CA213E84E52D54EC1096FFE83AA058C291677FD62EDC5E4C79719420A144E8084D7F6966CF6ACD8521D5FFA5AF88811DB3FCCA70334594EET3VCA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9BADEDD5CA213E84E52D54EC1096FFE83AA058C291667EDC25D35E4C79719420A144E8084D7F6966CF6ACD8027D5FFA5AF88811DB3FCCA70334594EET3VCA" TargetMode="External"/><Relationship Id="rId10" Type="http://schemas.openxmlformats.org/officeDocument/2006/relationships/image" Target="media/image2.wmf"/><Relationship Id="rId4" Type="http://schemas.openxmlformats.org/officeDocument/2006/relationships/hyperlink" Target="consultantplus://offline/ref=9BADEDD5CA213E84E52D54EC1096FFE83AA058C291667ED22ADD5E4C79719420A144E8084D7F6966CF6ACD872DD5FFA5AF88811DB3FCCA70334594EET3VCA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2987</Words>
  <Characters>17030</Characters>
  <Application>Microsoft Office Word</Application>
  <DocSecurity>0</DocSecurity>
  <Lines>141</Lines>
  <Paragraphs>39</Paragraphs>
  <ScaleCrop>false</ScaleCrop>
  <Company>КонсультантПлюс Версия 4023.00.09</Company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Приморского края от 19.12.2019 N 860-па(ред. от 19.10.2023)"Об утверждении государственной программы Приморского края "Экономическое развитие и инновационная экономика Приморского края"</dc:title>
  <dc:subject/>
  <dc:creator>УО Турчанова</dc:creator>
  <dc:description/>
  <cp:lastModifiedBy>УО Турчанова</cp:lastModifiedBy>
  <cp:revision>2</cp:revision>
  <dcterms:created xsi:type="dcterms:W3CDTF">2024-10-07T00:07:00Z</dcterms:created>
  <dcterms:modified xsi:type="dcterms:W3CDTF">2024-10-07T00:07:00Z</dcterms:modified>
  <dc:language>ru-RU</dc:language>
</cp:coreProperties>
</file>