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85" w:rsidRPr="003B1285" w:rsidRDefault="003B1285" w:rsidP="00910C61">
      <w:pPr>
        <w:pBdr>
          <w:bottom w:val="single" w:sz="6" w:space="8" w:color="E5E5E5"/>
        </w:pBdr>
        <w:spacing w:after="450" w:line="288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12"/>
          <w:kern w:val="36"/>
          <w:sz w:val="24"/>
          <w:szCs w:val="24"/>
          <w:lang w:eastAsia="ru-RU"/>
        </w:rPr>
      </w:pPr>
      <w:r w:rsidRPr="003B1285">
        <w:rPr>
          <w:rFonts w:ascii="Times New Roman" w:eastAsia="Times New Roman" w:hAnsi="Times New Roman" w:cs="Times New Roman"/>
          <w:b/>
          <w:bCs/>
          <w:caps/>
          <w:color w:val="333333"/>
          <w:spacing w:val="12"/>
          <w:kern w:val="36"/>
          <w:sz w:val="24"/>
          <w:szCs w:val="24"/>
          <w:lang w:eastAsia="ru-RU"/>
        </w:rPr>
        <w:t>ПАМЯТКА ПО ПРОВЕДЕНИЮ АНТИКОРРУПЦИОННОЙ ЭКСПЕРТИЗЫ МУНИЦИПАЛЬНЫХ НОРМАТИВНЫХ ПРАВОВЫХ АКТОВ</w:t>
      </w:r>
    </w:p>
    <w:p w:rsidR="003B1285" w:rsidRPr="0085230C" w:rsidRDefault="003B1285" w:rsidP="00910C61">
      <w:pPr>
        <w:shd w:val="clear" w:color="auto" w:fill="FFFFFF"/>
        <w:spacing w:after="312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Памятка по проведению </w:t>
      </w:r>
      <w:proofErr w:type="spellStart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антикоррупционной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экспертизы муниципальных нормативных правовых актов</w:t>
      </w:r>
    </w:p>
    <w:p w:rsidR="00910C61" w:rsidRPr="003B1285" w:rsidRDefault="00910C61" w:rsidP="00910C61">
      <w:pPr>
        <w:shd w:val="clear" w:color="auto" w:fill="FFFFFF"/>
        <w:spacing w:after="312" w:line="288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3B1285" w:rsidRPr="0085230C" w:rsidRDefault="003B1285" w:rsidP="00910C61">
      <w:pPr>
        <w:shd w:val="clear" w:color="auto" w:fill="FFFFFF"/>
        <w:spacing w:after="312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Рекомендуется начинать проведение </w:t>
      </w:r>
      <w:proofErr w:type="spellStart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антикоррупционной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экспертизы с определения компетентности принявшего акт органа местного самоуправления.</w:t>
      </w:r>
    </w:p>
    <w:p w:rsidR="00910C61" w:rsidRPr="003B1285" w:rsidRDefault="00910C61" w:rsidP="00910C61">
      <w:pPr>
        <w:shd w:val="clear" w:color="auto" w:fill="FFFFFF"/>
        <w:spacing w:after="312" w:line="288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3B1285" w:rsidRPr="003B1285" w:rsidRDefault="003B1285" w:rsidP="00910C61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первую очередь рекомендуется определить, относится ли предмет правового регулирования акта к вопросам местного значения или переданным полномочиям либо он отнесен к полномочиям органов местного самоуправления федеральными законами, законами субъектов Российской Федерации, уставом муниципального образования.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При определении компетенции следует иметь </w:t>
      </w: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ввиду</w:t>
      </w:r>
      <w:proofErr w:type="gram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, что </w:t>
      </w: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</w:t>
      </w:r>
      <w:proofErr w:type="gram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соответствии со статьей 2 Федерального закона № 131-ФЗ «Об общих принципах организации местного самоуправления в Российской Федерации» (далее – Федеральный закон № 131-ФЗ) муниципальные правовые акты могут приниматься: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а) непосредственно населением муниципального образования по вопросам местного значения;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б) органами местного самоуправления и (или) должностными лицами местного самоуправления —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самоуправления.</w:t>
      </w:r>
      <w:proofErr w:type="gramEnd"/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соответствии с частями 3, 4 и 6 статьи 43 Федерального закона № 131-ФЗ полномочия органов местного самоуправления определяются федеральными законами, законами субъектов Российской Федерации, уставами муниципальных образований.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Во вторую очередь рекомендуется определить, к компетенции какого именно из органов местного самоуправления (в соответствии со структурой и полномочиями органов местного самоуправления, определенными уставом муниципального образования) относится регулирование правоотношений.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Например, в соответствии с пунктом 5 части 10 статьи 35 Федерального закона № 131-ФЗ в исключительной компетенции представительного органа муниципального образования находится определение порядка управления и распоряжения муниципальным имуществом. Принятие конкретных решений по вопросам управления и распоряжения им относится к исполнительно-</w:t>
      </w:r>
      <w:r w:rsidRPr="0085230C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lastRenderedPageBreak/>
        <w:t>распорядительным полномочиям органов местного самоуправления, которые реализует местная администрация.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третью очередь необходимо определить пределы правового регулирования органов местного самоуправления в рамках данных правоотношений (как правило, они отражены в преамбуле акта).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Разграничение полномочий между различными уровнями публичной власти осуществляется в соответствии с законом.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После определения компетенции принявшего акт органа местного самоуправления следует произвести оценку нормативного правового акта во взаимосвязи с другими нормативными правовыми актами, регулирующими правоотношения в определенной сфере.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Необходимо учитывать, что принятие двух и более актов, регулирующих одни и те же правоотношения, способно привести к возможности применения любого из указанных актов «на выбор», то есть по усмотрению органов (должностных лиц) местного самоуправления, что само по себе порождает возможность проявления коррупционных проявлений.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Пример: правила благоустройства, утверждаемые представительным органом местного самоуправления, в которые включается глава о правилах проведения земляных работ либо правилах уборки территорий и правила проведения земляных работ (правила уборки территорий) в виде отдельного правового акта местной администрации.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Далее следует переходить к непосредственному анализу </w:t>
      </w:r>
      <w:proofErr w:type="spellStart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коррупциогенности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(</w:t>
      </w:r>
      <w:proofErr w:type="spellStart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антикоррупционной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экспертизе) нормативного правового акта.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Для обеспечения обоснованности, объективности и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проверяемости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результатов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антикоррупционной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Антикоррупционная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экспертиза проводится в соответствии с Методикой проведения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антикоррупционной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заключении по результатам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антикоррупционной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экспертизы указываются конкретные нормы нормативного правового акта или положения проекта нормативного правового акта, содержащие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коррупциогенные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факторы, указанные в Методике, и предложены способы их устранения.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Это может быть общий вывод о необходимости внесения изменений и (или) дополнений в нормативный правовой акт, вывод о необходимости отмены нормативного правового акта, об отклонении или доработке проекта нормативного правового акта.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 xml:space="preserve">При этом допустимо предлагать конкретные изменения и дополнения, а также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антикоррупционные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формулировки норм с тем, чтобы разъяснить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коррупциогенности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анализируемых норм.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Также в заключении по результатам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антикоррупционной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экспертизы могут быть даны рекомендации по включению в те</w:t>
      </w: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кст пр</w:t>
      </w:r>
      <w:proofErr w:type="gram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евентивных (предупреждающих)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антикоррупционных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норм.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Последним этапом </w:t>
      </w:r>
      <w:proofErr w:type="spellStart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антикоррупционной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экспертизы является принятие мер по ее результатам.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Составленное по результатам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антикоррупционной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экспертизы заключение направляется в орган местного самоуправления, принявший нормативный правовой акт либо орган (структурное подразделение, ответственное за разработку проекта муниципального нормативного правового акта).</w:t>
      </w:r>
    </w:p>
    <w:p w:rsidR="003B1285" w:rsidRPr="003B1285" w:rsidRDefault="003B1285" w:rsidP="0085230C">
      <w:pPr>
        <w:shd w:val="clear" w:color="auto" w:fill="FFFFFF"/>
        <w:spacing w:after="312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При этом необходимо помнить, что в соответствии с частью 5 статьи 3 Федерального закона от 17.07.2009 № 172-ФЗ «Об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антикоррупционной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коррупциогенных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факторов, принятие </w:t>
      </w: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мер</w:t>
      </w:r>
      <w:proofErr w:type="gram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по устранению которых не относится к их компетенции, информируют об этом органы прокуратуры.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</w:t>
      </w:r>
    </w:p>
    <w:p w:rsidR="003B1285" w:rsidRPr="003B1285" w:rsidRDefault="003B1285" w:rsidP="0085230C">
      <w:pPr>
        <w:shd w:val="clear" w:color="auto" w:fill="FFFFFF"/>
        <w:spacing w:after="312" w:line="288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Перечень и примеры типичных </w:t>
      </w:r>
      <w:proofErr w:type="spellStart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коррупциогенных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факторов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</w:t>
      </w:r>
    </w:p>
    <w:p w:rsid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proofErr w:type="spellStart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Коррупциогенные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факторы, устанавливающие для </w:t>
      </w:r>
      <w:proofErr w:type="spellStart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правоприменителя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правил:</w:t>
      </w:r>
    </w:p>
    <w:p w:rsidR="0085230C" w:rsidRPr="003B1285" w:rsidRDefault="0085230C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1) широта дискреционных полномочий —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Дискреционные полномочия – совокупность прав и обязанностей органов местного самоуправления, их должностных лиц, предоставляющих органу или должностному лицу возможность по своему усмотрению определить вид и содержание (полностью или частично) принимаемого решения либо возможность выбора по своему усмотрению одного из нескольких вариантов решений.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Необходимо сузить до минимума возможность свободного усмотрения должностных лиц органов местного самоуправления, а при установлении права выбора точно определить условия и основания принятия того или иного решения.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Пример: 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«При необходимости, заявителю необходимо предоставить копию документа воинского учета».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lastRenderedPageBreak/>
        <w:t>Коррупциогенный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 xml:space="preserve"> фактор: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широта дискреционных полномочий. Отсутствуют случаи необходимости представления данного документа.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Рекомендации: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необходимо конкретизировать случаи представления данного документа или представлять его в обязательном порядке.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2) определение компетенции по формуле «вправе» —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Необходимо помнить, что в теории административного права компетенция органа местного самоуправления понимается через единство прав и обязанностей, то есть они неразрывно связаны. Разделение прав и обязанностей в формулах «вправе», «может» создает иллюзию того, что в определенных случаях можно использовать полномочие как право (то есть не осуществлять его).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Пример: 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«…При наличии у местной Администрации сведений, необходимых для принятия решения о выплате, граждане </w:t>
      </w: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могут быть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освобождены по решению главы местной Администрации от обязанности представления всех или части документов, указанных в настоящем пункте Порядка».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Коррупциогенный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 xml:space="preserve"> фактор: 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применение формулировки «могут быть» является диспозитивным установлением возможности совершения действий должностными лицами учреждений в отношении граждан.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Рекомендации: 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слова «могут быть освобождены» заменить словом «освобождаются».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3)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</w:t>
      </w: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выборочное изменение объема прав —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Коррупционно опасным является любое изменение объема прав заявителя, процедура реализации которых ставится в зависимость от уполномоченной стороны (установление запретов или ограничений, либо, напротив, исключений и предоставление преимуществ, привилегий).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Пример: 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«… В случае</w:t>
      </w: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</w:t>
      </w:r>
      <w:proofErr w:type="gram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если в представленных заявителем документах выявлены недостатки, являющиеся основанием для их возвращения без рассмотрения по существу, но которые можно устранить без возврата этих документов, и заявитель не настаивает на их возврате, местная Администрация устанавливает срок для устранения таких недостатков, не превышающий 30 дней.».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Коррупциогенные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 xml:space="preserve"> факторы: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 выборочное изменение объёма прав; злоупотребление правом заявителя органами государственной власти (их должностными лицами). Данный пункт предоставляет возможность установления исключений из общего порядка. При этом: — не указан закрытый перечень недостатков, которые могут быть устранены без возвращения документов 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>заявителю; — не указан способ уведомления, которым заявитель должен сообщить о том, что он не настаивает на возврате документов. Таким образом, отсутствует чёткая регламентация прав заявителя, имеются дискреционные полномочия должностных лиц.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Рекомендации: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привести закрытый (исчерпывающий) перечень недостатков, которые устраняются в определённый срок без возврата документов заявителю. Предусмотреть действия должностных лиц, если в установленный срок недостатки не были устранены заявителем.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4) принятие нормативного правового акта за пределами компетенции —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Пример: 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Положение «О комиссии по соблюдению требований к служебному поведению и урегулированию конфликта интересов» утверждено Постановлением местной Администрации.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Коррупциогенный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 xml:space="preserve"> фактор: 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нарушение компетенции органов местного самоуправления при принятии нормативных правовых актов — статья 8-1 Закона Санкт-Петербурга от 15.02.2000 N 53-8 «О регулировании отдельных вопросов муниципальной службы в Санкт-Петербурге» устанавливает, что «Положение о комиссии по урегулированию конфликта интересов утверждается муниципальным правовым актом, принимаемым представительным органом муниципального образования</w:t>
      </w: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.».</w:t>
      </w:r>
      <w:proofErr w:type="gramEnd"/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Рекомендации: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утвердить Положение «О комиссии по соблюдению требований к служебному поведению и урегулированию конфликта интересов» решением Муниципального Совета.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5) отсутствие или неполнота административных процедур —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целях исключения данного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коррупциогенного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фактора органы местного самоуправления должны разработать административные регламенты в отношении каждой предоставляемой муниципальной услуги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Пример:</w:t>
      </w:r>
      <w:r w:rsidRPr="0085230C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 «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Основаниями принятия решения об отказе в предоставлении выплаты являются: а) непредставление или представление не в полном объеме документов, указанных в пунктах 3 Порядка;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б) представление недостоверных сведений;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в) снятие с регистрационного учета по месту жительства или месту пребывания на территории Санкт-Петербурга».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lastRenderedPageBreak/>
        <w:t>Коррупциогенный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 xml:space="preserve"> фактор: 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Однако в документе отсутствуют порядок и сроки проверки достоверности предоставленных сведений.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Рекомендации: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установить порядок и сроки проверки достоверности предоставленных сведений.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6) отказ от конкурсных (аукционных) процедур — закрепление административного порядка предоставления права (блага).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Снижению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коррупциогенности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способствует использование специальных процедур, именуемых в гражданском праве «торги» (аукционы и конкурсы).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Коррупциогенные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факторы, содержащие неопределенные, трудновыполнимые и (или) обременительные требования к гражданам и организациям: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1) наличие завышенных требований к лицу, предъявляемых для реализации принадлежащего ему права, — установление неопределенных, трудновыполнимых и обременительных требований к гражданам и организациям.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Условия (требования), необходимые для реализации субъектом своего права либо исполнения обязанности, обременительны настолько, что превышают уровень разумного. Проявляется при реализации разрешительных и регистрационных полномочий.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Как правило, обнаружить данный фактор в формулировке требований к заявителю можно при анализе оснований для отказа в совершении действия, приема документов.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Коррупциогенность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повышается, если перечень оснований для отказа: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а)  открытый, то есть не исчерпывающий;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б)  содержит ссылки к основаниям для отказа, </w:t>
      </w: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установленном</w:t>
      </w:r>
      <w:proofErr w:type="gram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в других актах;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в)  содержит «размытые», субъективно-оценочные основания отказа (например, представленные заявителем сведения не соответствуют действительности или представлены не в полном объеме).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Пример: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«Копия документа, удостоверяющего личность, при подаче заявления гражданином, заверенная нотариально</w:t>
      </w: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.»</w:t>
      </w:r>
      <w:proofErr w:type="gramEnd"/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Коррупциогенный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 xml:space="preserve"> фактор: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Условия (требования) о предоставлении нотариально заверенных копий документов, необходимые для реализации гражданином своего права слишком обременительны и в данном случае необязательны.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Рекомендации: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изложить пун</w:t>
      </w: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кт в сл</w:t>
      </w:r>
      <w:proofErr w:type="gram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едующей редакции: «Копия документа, удостоверяющего личность, при подаче заявления гражданином. Документы, удостоверяющие личность гражданина, предоставляются в копиях с одновременным представлением оригинала. Копии документов после проверки их соответствия оригиналу заверяются лицом, принимающим документы, оригиналы документов возвращаются гражданину. В случае предоставления гражданином 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>нотариально заверенных копий предоставление оригиналов документов не требуется».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2) злоупотребление правом заявителя органами государственной власти или органами местного самоуправления (их должностными лицами) — отсутствие четкой регламентации прав граждан и организаций.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Анализ возможного способа выбора способа или срока совершения действия субъектом права необходимо проводить во взаимосвязи с последующими указанными действиями правомочиями уполномоченной стороны.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Пример: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«Для получения субсидий заявитель представляет в местную Администрацию следующие документы: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а) заявление о предоставлении субсидии;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б) расчет размера субсидий по форме, устанавливаемой местной Администрацией, подписанный заявителем (в 2-х экземплярах) и в сроки, устанавливаемые местной Администрацией по согласованию с заявителем».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Коррупциогенный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 xml:space="preserve"> фактор: 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Предоставление заявителю права свободного выбора сроков совершения действий, сопровождаемое отсутствием их четкой регламентации после вступления в административное правоотношение, создает возможности дискреционного поведения муниципальных служащих.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Рекомендации: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изложить пун</w:t>
      </w: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кт в сл</w:t>
      </w:r>
      <w:proofErr w:type="gram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едующей редакции: «Для получения субсидий заявитель представляет в местную Администрацию следующие документы: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а) заявление о предоставлении субсидии;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б) ежемесячно расчет размера субсидий по форме, устанавливаемой местной Администрацией, подписанный заявителем (в 2-х экземплярах) и в сроки, устанавливаемые местной Администрацией».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3) юридико-лингвистическая неопределенность — употребление </w:t>
      </w:r>
      <w:proofErr w:type="spellStart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неустоявшихся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, двусмысленных терминов и категорий оценочного характера.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Пример: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«Основанием для отказа в исполнении муниципальной услуги является: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— отказ органа прокуратуры в согласовании проведения внеплановой выездной проверки по основаниям, указанным в абзацах 2 и 3 подпункта «б» пункта 3.3.5 Административного регламента;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— предоставление заведомо недостоверной или искаженной информации в обращении.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Коррупциогенный</w:t>
      </w:r>
      <w:proofErr w:type="spellEnd"/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 xml:space="preserve"> фактор: 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Формулировки «заведомо недостоверной или искаженной информации» является формулировкой оценочного характера, с неясным, неопределённым содержанием, допускающими различные трактовки. В связи с чем, </w:t>
      </w:r>
      <w:proofErr w:type="spell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правоприменение</w:t>
      </w:r>
      <w:proofErr w:type="spellEnd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может стать избирательным и выборочным. Федеральный закон от 02.05.2006 59-ФЗ «О порядке рассмотрения обращений граждан Российской Федерации» не содержит подобных оснований для отказа в рассмотрении обращения. Кроме того, представляется невозможным объективно 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>установить прямой умысел лица на предоставление недостоверной или искажённой информации.</w:t>
      </w:r>
    </w:p>
    <w:p w:rsidR="003B1285" w:rsidRPr="003B1285" w:rsidRDefault="003B1285" w:rsidP="00910C61">
      <w:pPr>
        <w:shd w:val="clear" w:color="auto" w:fill="FFFFFF"/>
        <w:spacing w:after="312" w:line="288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5230C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  <w:lang w:eastAsia="ru-RU"/>
        </w:rPr>
        <w:t>Рекомендации:</w:t>
      </w:r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исключить из пункта слова «предоставление заведомо недостоверной или искаженной информации в обращении</w:t>
      </w:r>
      <w:proofErr w:type="gramStart"/>
      <w:r w:rsidRPr="003B128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.».</w:t>
      </w:r>
      <w:proofErr w:type="gramEnd"/>
    </w:p>
    <w:p w:rsidR="0034632E" w:rsidRPr="0085230C" w:rsidRDefault="0034632E" w:rsidP="00910C61">
      <w:pPr>
        <w:spacing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4632E" w:rsidRPr="0085230C" w:rsidSect="0034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285"/>
    <w:rsid w:val="0034632E"/>
    <w:rsid w:val="003B1285"/>
    <w:rsid w:val="0085230C"/>
    <w:rsid w:val="0091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2E"/>
  </w:style>
  <w:style w:type="paragraph" w:styleId="1">
    <w:name w:val="heading 1"/>
    <w:basedOn w:val="a"/>
    <w:link w:val="10"/>
    <w:uiPriority w:val="9"/>
    <w:qFormat/>
    <w:rsid w:val="003B1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285"/>
    <w:rPr>
      <w:b/>
      <w:bCs/>
    </w:rPr>
  </w:style>
  <w:style w:type="character" w:styleId="a5">
    <w:name w:val="Emphasis"/>
    <w:basedOn w:val="a0"/>
    <w:uiPriority w:val="20"/>
    <w:qFormat/>
    <w:rsid w:val="003B12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2023-06-20T23:00:00Z</dcterms:created>
  <dcterms:modified xsi:type="dcterms:W3CDTF">2023-06-20T23:12:00Z</dcterms:modified>
</cp:coreProperties>
</file>